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2A19">
        <w:rPr>
          <w:rFonts w:ascii="MS Shell Dlg 2" w:hAnsi="MS Shell Dlg 2" w:cs="MS Shell Dlg 2"/>
          <w:noProof/>
          <w:sz w:val="40"/>
          <w:szCs w:val="40"/>
          <w:u w:val="single"/>
        </w:rPr>
        <w:t>Valeurs limites pour c</w:t>
      </w:r>
      <w:bookmarkStart w:id="0" w:name="_GoBack"/>
      <w:bookmarkEnd w:id="0"/>
      <w:r w:rsidR="00CA2A19">
        <w:rPr>
          <w:rFonts w:ascii="MS Shell Dlg 2" w:hAnsi="MS Shell Dlg 2" w:cs="MS Shell Dlg 2"/>
          <w:noProof/>
          <w:sz w:val="40"/>
          <w:szCs w:val="40"/>
          <w:u w:val="single"/>
        </w:rPr>
        <w:t>lasse d’exposition suivant l’EN 206-1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F23D5E" w:rsidRDefault="00D7782D" w:rsidP="00F23D5E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CA2A19" w:rsidRDefault="00CA2A19" w:rsidP="00CA2A19">
      <w:r>
        <w:t>Cet outil demande de classer le béton dans plusieurs classes :</w:t>
      </w:r>
    </w:p>
    <w:p w:rsidR="00CA2A19" w:rsidRDefault="00CA2A19" w:rsidP="00CA2A19">
      <w:pPr>
        <w:pStyle w:val="Paragraphedeliste"/>
        <w:numPr>
          <w:ilvl w:val="0"/>
          <w:numId w:val="22"/>
        </w:numPr>
        <w:jc w:val="both"/>
      </w:pPr>
      <w:r>
        <w:t>X0</w:t>
      </w:r>
    </w:p>
    <w:p w:rsidR="00CA2A19" w:rsidRDefault="00CA2A19" w:rsidP="00CA2A19">
      <w:pPr>
        <w:pStyle w:val="Paragraphedeliste"/>
        <w:numPr>
          <w:ilvl w:val="0"/>
          <w:numId w:val="22"/>
        </w:numPr>
        <w:jc w:val="both"/>
      </w:pPr>
      <w:r>
        <w:t>XC1 à XC4</w:t>
      </w:r>
    </w:p>
    <w:p w:rsidR="00CA2A19" w:rsidRDefault="00CA2A19" w:rsidP="00CA2A19">
      <w:pPr>
        <w:pStyle w:val="Paragraphedeliste"/>
        <w:numPr>
          <w:ilvl w:val="0"/>
          <w:numId w:val="22"/>
        </w:numPr>
        <w:jc w:val="both"/>
      </w:pPr>
      <w:r>
        <w:t>XD1 à XD3</w:t>
      </w:r>
    </w:p>
    <w:p w:rsidR="00CA2A19" w:rsidRDefault="00CA2A19" w:rsidP="00CA2A19">
      <w:pPr>
        <w:pStyle w:val="Paragraphedeliste"/>
        <w:numPr>
          <w:ilvl w:val="0"/>
          <w:numId w:val="22"/>
        </w:numPr>
        <w:jc w:val="both"/>
      </w:pPr>
      <w:r>
        <w:t>XS1 à XS3</w:t>
      </w:r>
    </w:p>
    <w:p w:rsidR="00CA2A19" w:rsidRDefault="00CA2A19" w:rsidP="00CA2A19">
      <w:pPr>
        <w:pStyle w:val="Paragraphedeliste"/>
        <w:numPr>
          <w:ilvl w:val="0"/>
          <w:numId w:val="22"/>
        </w:numPr>
        <w:jc w:val="both"/>
      </w:pPr>
      <w:r>
        <w:t>XF1àXF4</w:t>
      </w:r>
    </w:p>
    <w:p w:rsidR="00CA2A19" w:rsidRDefault="00CA2A19" w:rsidP="00CA2A19">
      <w:pPr>
        <w:pStyle w:val="Paragraphedeliste"/>
        <w:numPr>
          <w:ilvl w:val="0"/>
          <w:numId w:val="22"/>
        </w:numPr>
        <w:jc w:val="both"/>
      </w:pPr>
      <w:r>
        <w:t>XA1 à XA3</w:t>
      </w:r>
    </w:p>
    <w:p w:rsidR="00CA2A19" w:rsidRDefault="00CA2A19" w:rsidP="00CA2A19">
      <w:r>
        <w:t>Avec les particularités suivantes :</w:t>
      </w:r>
    </w:p>
    <w:p w:rsidR="00CA2A19" w:rsidRDefault="00CA2A19" w:rsidP="00CA2A19">
      <w:pPr>
        <w:pStyle w:val="Paragraphedeliste"/>
        <w:numPr>
          <w:ilvl w:val="0"/>
          <w:numId w:val="23"/>
        </w:numPr>
        <w:jc w:val="both"/>
      </w:pPr>
      <w:r>
        <w:t>X0 est exclusif de toutes les autres classes. Si l’environnement du béton est classé X0, il ne pourra pas être classé autre chose que X0.</w:t>
      </w:r>
    </w:p>
    <w:p w:rsidR="00CA2A19" w:rsidRDefault="00CA2A19" w:rsidP="00CA2A19">
      <w:pPr>
        <w:pStyle w:val="Paragraphedeliste"/>
        <w:numPr>
          <w:ilvl w:val="0"/>
          <w:numId w:val="23"/>
        </w:numPr>
        <w:jc w:val="both"/>
      </w:pPr>
      <w:r>
        <w:t>Les classes XC, XD, XF ou XA sont exclusives à l’intérieur d’elle-même. Ainsi, si l’environnement du béton est classé XC1, il ne sera pas simultanément XC4, raison pour laquelle figurent des ronds à cocher et non des cases à cocher. Le projeteur devra donc choisir la classe la plus sévère pour chaque catégorie d’agression.</w:t>
      </w:r>
    </w:p>
    <w:p w:rsidR="00CA2A19" w:rsidRDefault="00CA2A19" w:rsidP="00CA2A19">
      <w:pPr>
        <w:pStyle w:val="Paragraphedeliste"/>
        <w:numPr>
          <w:ilvl w:val="0"/>
          <w:numId w:val="23"/>
        </w:numPr>
        <w:jc w:val="both"/>
      </w:pPr>
      <w:r>
        <w:t xml:space="preserve">Un même béton peut se trouver simultanément dans plusieurs classes d’environnement. Ainsi suivant le document du CERIB </w:t>
      </w:r>
      <w:hyperlink w:anchor="Biblio_ClasseExpoCERIB" w:history="1">
        <w:r w:rsidRPr="00FA055E">
          <w:rPr>
            <w:rStyle w:val="Lienhypertexte"/>
          </w:rPr>
          <w:t>[6</w:t>
        </w:r>
        <w:r w:rsidRPr="00FA055E">
          <w:rPr>
            <w:rStyle w:val="Lienhypertexte"/>
          </w:rPr>
          <w:t>]</w:t>
        </w:r>
        <w:r w:rsidRPr="00FA055E">
          <w:rPr>
            <w:rStyle w:val="Lienhypertexte"/>
          </w:rPr>
          <w:t>,</w:t>
        </w:r>
      </w:hyperlink>
      <w:r>
        <w:t xml:space="preserve"> un plancher intermédiaire de parking ouvert en bord de mer peut être classé simultanément XC3, XS1, XD1 et XF2. Dans ce cas, ces 4 ronds seront cochés, soit l’image ci-dessous avec son résultat suivant l’EN206-1 de 2000.</w:t>
      </w:r>
    </w:p>
    <w:p w:rsidR="00CA2A19" w:rsidRDefault="00CA2A19" w:rsidP="00CA2A19">
      <w:pPr>
        <w:pStyle w:val="Paragraphedeliste"/>
      </w:pPr>
      <w:r>
        <w:rPr>
          <w:noProof/>
        </w:rPr>
        <w:drawing>
          <wp:inline distT="0" distB="0" distL="0" distR="0" wp14:anchorId="0C277148" wp14:editId="6031853C">
            <wp:extent cx="5759450" cy="2850515"/>
            <wp:effectExtent l="0" t="0" r="0" b="6985"/>
            <wp:docPr id="88" name="Imag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85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A19" w:rsidRDefault="00CA2A19" w:rsidP="00CA2A19">
      <w:r>
        <w:t>Il suffit de cliquer sur le bouton « Afficher les exigences suivant classes d’exposition » et automatiquement, le logiciel va calculer les exigences suivant le tableau NA.F.1 de l’EN206-1 :2000 et afficher celles les plus élevées.</w:t>
      </w:r>
    </w:p>
    <w:p w:rsidR="00CA2A19" w:rsidRDefault="00CA2A19" w:rsidP="00CA2A19">
      <w:r>
        <w:t>Ainsi, dans l’exemple ci-dessus, la classe XC3 impose une classe de résistance de C25/30 alors que la classeXS1 impose une classe de résistance de C30/37. C’est cette dernière qui est affichée dans le champs de texte « Résultats ».</w:t>
      </w:r>
    </w:p>
    <w:p w:rsidR="00CA2A19" w:rsidRDefault="00CA2A19" w:rsidP="00CA2A19">
      <w:r>
        <w:t>Les exigences sont calculées pour des pièces coulées en place et non préfabriquées en usine.</w:t>
      </w:r>
    </w:p>
    <w:p w:rsidR="00CA2A19" w:rsidRDefault="00CA2A19" w:rsidP="00CA2A19">
      <w:r>
        <w:t>Les exigences peuvent être calculées par rapport à 2 références au choix du projeteur :</w:t>
      </w:r>
    </w:p>
    <w:p w:rsidR="00CA2A19" w:rsidRDefault="00CA2A19" w:rsidP="00CA2A19">
      <w:pPr>
        <w:pStyle w:val="Paragraphedeliste"/>
        <w:numPr>
          <w:ilvl w:val="0"/>
          <w:numId w:val="24"/>
        </w:numPr>
        <w:jc w:val="both"/>
      </w:pPr>
      <w:r>
        <w:t>EN206-1 :2000 + amendement A1 + amendement A2</w:t>
      </w:r>
    </w:p>
    <w:p w:rsidR="00CA2A19" w:rsidRDefault="00CA2A19" w:rsidP="00CA2A19">
      <w:pPr>
        <w:pStyle w:val="Paragraphedeliste"/>
        <w:numPr>
          <w:ilvl w:val="0"/>
          <w:numId w:val="24"/>
        </w:numPr>
        <w:jc w:val="both"/>
      </w:pPr>
      <w:r>
        <w:t>EN206+A2/CN de novembre 2022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436853">
        <w:t>22 mars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F23D5E" w:rsidP="00C163E6">
      <w:pPr>
        <w:pStyle w:val="Paragraphedeliste"/>
        <w:numPr>
          <w:ilvl w:val="0"/>
          <w:numId w:val="1"/>
        </w:numPr>
        <w:spacing w:line="240" w:lineRule="auto"/>
      </w:pPr>
      <w:r>
        <w:t xml:space="preserve">[1] </w:t>
      </w:r>
      <w:r w:rsidR="00513B6C">
        <w:t>« Nouveau guide du béton et de ses constituants » - 8</w:t>
      </w:r>
      <w:r w:rsidR="00513B6C" w:rsidRPr="005B5122">
        <w:rPr>
          <w:vertAlign w:val="superscript"/>
        </w:rPr>
        <w:t>ième</w:t>
      </w:r>
      <w:r w:rsidR="00513B6C">
        <w:t xml:space="preserve"> édition 1998 3</w:t>
      </w:r>
      <w:r w:rsidR="00513B6C" w:rsidRPr="00D75B78">
        <w:rPr>
          <w:vertAlign w:val="superscript"/>
        </w:rPr>
        <w:t>ième</w:t>
      </w:r>
      <w:r w:rsidR="00513B6C">
        <w:t xml:space="preserve"> tirage 2007 – G. Dreux &amp; J. FESTA- Edition Eyrolles  </w:t>
      </w:r>
    </w:p>
    <w:p w:rsidR="009B79DA" w:rsidRDefault="00513B6C" w:rsidP="00DD0318">
      <w:pPr>
        <w:pStyle w:val="Paragraphedeliste"/>
        <w:numPr>
          <w:ilvl w:val="0"/>
          <w:numId w:val="1"/>
        </w:numPr>
        <w:spacing w:line="240" w:lineRule="auto"/>
        <w:jc w:val="both"/>
      </w:pPr>
      <w:r>
        <w:t>NF EN 206-1 :2000 de Avril 2004 (tirage 2006-06) et son Annexe Nationale Française</w:t>
      </w:r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F3503"/>
    <w:multiLevelType w:val="hybridMultilevel"/>
    <w:tmpl w:val="05947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70F2A"/>
    <w:multiLevelType w:val="hybridMultilevel"/>
    <w:tmpl w:val="FDD20D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7214A1"/>
    <w:multiLevelType w:val="hybridMultilevel"/>
    <w:tmpl w:val="1E1CA2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7D2D45"/>
    <w:multiLevelType w:val="hybridMultilevel"/>
    <w:tmpl w:val="DAB6FC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D16014"/>
    <w:multiLevelType w:val="hybridMultilevel"/>
    <w:tmpl w:val="37B45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B1C0F"/>
    <w:multiLevelType w:val="hybridMultilevel"/>
    <w:tmpl w:val="23F4C6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C68DA"/>
    <w:multiLevelType w:val="multilevel"/>
    <w:tmpl w:val="D44E4F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22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16"/>
  </w:num>
  <w:num w:numId="9">
    <w:abstractNumId w:val="4"/>
  </w:num>
  <w:num w:numId="10">
    <w:abstractNumId w:val="9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21"/>
  </w:num>
  <w:num w:numId="16">
    <w:abstractNumId w:val="3"/>
  </w:num>
  <w:num w:numId="17">
    <w:abstractNumId w:val="2"/>
  </w:num>
  <w:num w:numId="18">
    <w:abstractNumId w:val="23"/>
  </w:num>
  <w:num w:numId="19">
    <w:abstractNumId w:val="12"/>
  </w:num>
  <w:num w:numId="20">
    <w:abstractNumId w:val="8"/>
  </w:num>
  <w:num w:numId="21">
    <w:abstractNumId w:val="17"/>
  </w:num>
  <w:num w:numId="22">
    <w:abstractNumId w:val="14"/>
  </w:num>
  <w:num w:numId="23">
    <w:abstractNumId w:val="15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D0AC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436853"/>
    <w:rsid w:val="005019B6"/>
    <w:rsid w:val="00513B6C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A2A19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23D5E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143D5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F23D5E"/>
    <w:pPr>
      <w:keepNext/>
      <w:widowControl w:val="0"/>
      <w:numPr>
        <w:numId w:val="18"/>
      </w:numPr>
      <w:autoSpaceDE w:val="0"/>
      <w:autoSpaceDN w:val="0"/>
      <w:adjustRightInd w:val="0"/>
      <w:spacing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F23D5E"/>
    <w:pPr>
      <w:keepNext/>
      <w:numPr>
        <w:ilvl w:val="1"/>
        <w:numId w:val="18"/>
      </w:numPr>
      <w:shd w:val="clear" w:color="auto" w:fill="FBD4B4" w:themeFill="accent6" w:themeFillTint="66"/>
      <w:autoSpaceDE w:val="0"/>
      <w:autoSpaceDN w:val="0"/>
      <w:adjustRightInd w:val="0"/>
      <w:spacing w:before="240" w:after="240" w:line="240" w:lineRule="auto"/>
      <w:jc w:val="both"/>
      <w:outlineLvl w:val="1"/>
    </w:pPr>
    <w:rPr>
      <w:rFonts w:ascii="Times New Roman" w:eastAsia="Times New Roman" w:hAnsi="Times New Roman" w:cstheme="minorHAnsi"/>
      <w:b/>
      <w:bCs/>
      <w:sz w:val="28"/>
      <w:szCs w:val="32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F23D5E"/>
    <w:pPr>
      <w:keepNext/>
      <w:widowControl w:val="0"/>
      <w:numPr>
        <w:ilvl w:val="2"/>
        <w:numId w:val="18"/>
      </w:numPr>
      <w:pBdr>
        <w:bottom w:val="single" w:sz="4" w:space="1" w:color="auto"/>
      </w:pBdr>
      <w:autoSpaceDE w:val="0"/>
      <w:autoSpaceDN w:val="0"/>
      <w:adjustRightInd w:val="0"/>
      <w:spacing w:before="240" w:after="24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re4">
    <w:name w:val="heading 4"/>
    <w:basedOn w:val="Normal"/>
    <w:next w:val="Normal"/>
    <w:link w:val="Titre4Car"/>
    <w:autoRedefine/>
    <w:uiPriority w:val="99"/>
    <w:qFormat/>
    <w:rsid w:val="00F23D5E"/>
    <w:pPr>
      <w:keepNext/>
      <w:numPr>
        <w:ilvl w:val="3"/>
        <w:numId w:val="1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bCs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uiPriority w:val="99"/>
    <w:qFormat/>
    <w:rsid w:val="00F23D5E"/>
    <w:pPr>
      <w:keepNext/>
      <w:numPr>
        <w:ilvl w:val="4"/>
        <w:numId w:val="18"/>
      </w:numPr>
      <w:autoSpaceDE w:val="0"/>
      <w:autoSpaceDN w:val="0"/>
      <w:adjustRightInd w:val="0"/>
      <w:spacing w:after="240" w:line="240" w:lineRule="auto"/>
      <w:ind w:left="1716"/>
      <w:jc w:val="both"/>
      <w:outlineLvl w:val="4"/>
    </w:pPr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paragraph" w:styleId="Titre6">
    <w:name w:val="heading 6"/>
    <w:basedOn w:val="Normal"/>
    <w:next w:val="Normal"/>
    <w:link w:val="Titre6Car"/>
    <w:uiPriority w:val="99"/>
    <w:qFormat/>
    <w:rsid w:val="00F23D5E"/>
    <w:pPr>
      <w:keepNext/>
      <w:numPr>
        <w:ilvl w:val="5"/>
        <w:numId w:val="18"/>
      </w:numPr>
      <w:autoSpaceDE w:val="0"/>
      <w:autoSpaceDN w:val="0"/>
      <w:adjustRightInd w:val="0"/>
      <w:spacing w:after="0" w:line="240" w:lineRule="auto"/>
      <w:jc w:val="both"/>
      <w:outlineLvl w:val="5"/>
    </w:pPr>
    <w:rPr>
      <w:rFonts w:ascii="Courier New" w:eastAsia="Times New Roman" w:hAnsi="Courier New" w:cs="Courier New"/>
      <w:sz w:val="20"/>
      <w:szCs w:val="20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F23D5E"/>
    <w:pPr>
      <w:keepNext/>
      <w:numPr>
        <w:ilvl w:val="6"/>
        <w:numId w:val="18"/>
      </w:numPr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rsid w:val="00F23D5E"/>
    <w:pPr>
      <w:keepNext/>
      <w:numPr>
        <w:ilvl w:val="7"/>
        <w:numId w:val="18"/>
      </w:numPr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F23D5E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F23D5E"/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character" w:customStyle="1" w:styleId="Titre2Car">
    <w:name w:val="Titre 2 Car"/>
    <w:basedOn w:val="Policepardfaut"/>
    <w:link w:val="Titre2"/>
    <w:uiPriority w:val="99"/>
    <w:rsid w:val="00F23D5E"/>
    <w:rPr>
      <w:rFonts w:ascii="Times New Roman" w:eastAsia="Times New Roman" w:hAnsi="Times New Roman" w:cstheme="minorHAnsi"/>
      <w:b/>
      <w:bCs/>
      <w:sz w:val="28"/>
      <w:szCs w:val="32"/>
      <w:shd w:val="clear" w:color="auto" w:fill="FBD4B4" w:themeFill="accent6" w:themeFillTint="66"/>
    </w:rPr>
  </w:style>
  <w:style w:type="character" w:customStyle="1" w:styleId="Titre3Car">
    <w:name w:val="Titre 3 Car"/>
    <w:basedOn w:val="Policepardfaut"/>
    <w:link w:val="Titre3"/>
    <w:uiPriority w:val="99"/>
    <w:rsid w:val="00F23D5E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itre4Car">
    <w:name w:val="Titre 4 Car"/>
    <w:basedOn w:val="Policepardfaut"/>
    <w:link w:val="Titre4"/>
    <w:uiPriority w:val="99"/>
    <w:rsid w:val="00F23D5E"/>
    <w:rPr>
      <w:rFonts w:ascii="Times New Roman" w:eastAsia="Times New Roman" w:hAnsi="Times New Roman" w:cs="Times New Roman"/>
      <w:bCs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9"/>
    <w:rsid w:val="00F23D5E"/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character" w:customStyle="1" w:styleId="Titre6Car">
    <w:name w:val="Titre 6 Car"/>
    <w:basedOn w:val="Policepardfaut"/>
    <w:link w:val="Titre6"/>
    <w:uiPriority w:val="99"/>
    <w:rsid w:val="00F23D5E"/>
    <w:rPr>
      <w:rFonts w:ascii="Courier New" w:eastAsia="Times New Roman" w:hAnsi="Courier New" w:cs="Courier New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F23D5E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Titre8Car">
    <w:name w:val="Titre 8 Car"/>
    <w:basedOn w:val="Policepardfaut"/>
    <w:link w:val="Titre8"/>
    <w:uiPriority w:val="99"/>
    <w:rsid w:val="00F23D5E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rsid w:val="00F23D5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styleId="Lienhypertexte">
    <w:name w:val="Hyperlink"/>
    <w:basedOn w:val="Policepardfaut"/>
    <w:uiPriority w:val="99"/>
    <w:rsid w:val="00F23D5E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A2A1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326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8</cp:revision>
  <dcterms:created xsi:type="dcterms:W3CDTF">2025-11-16T14:41:00Z</dcterms:created>
  <dcterms:modified xsi:type="dcterms:W3CDTF">2026-03-22T14:01:00Z</dcterms:modified>
</cp:coreProperties>
</file>